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7BAE">
      <w:pPr>
        <w:jc w:val="center"/>
        <w:rPr>
          <w:rStyle w:val="6"/>
          <w:rFonts w:eastAsia="方正小标宋简体"/>
          <w:bCs w:val="0"/>
          <w:color w:val="auto"/>
          <w:sz w:val="36"/>
          <w:szCs w:val="36"/>
        </w:rPr>
      </w:pPr>
      <w:bookmarkStart w:id="0" w:name="_GoBack"/>
      <w:bookmarkEnd w:id="0"/>
      <w:r>
        <w:rPr>
          <w:rStyle w:val="6"/>
          <w:rFonts w:eastAsia="方正小标宋简体"/>
          <w:b w:val="0"/>
          <w:color w:val="auto"/>
          <w:sz w:val="36"/>
          <w:szCs w:val="36"/>
        </w:rPr>
        <w:t>浙江省科学技术奖公示信息表</w:t>
      </w:r>
      <w:r>
        <w:rPr>
          <w:rStyle w:val="6"/>
          <w:rFonts w:eastAsia="仿宋_GB2312"/>
          <w:b w:val="0"/>
          <w:color w:val="auto"/>
          <w:sz w:val="32"/>
          <w:szCs w:val="32"/>
        </w:rPr>
        <w:t>（单位提名）</w:t>
      </w:r>
    </w:p>
    <w:p w14:paraId="515E8EDD">
      <w:pPr>
        <w:spacing w:line="440" w:lineRule="exact"/>
        <w:rPr>
          <w:rFonts w:eastAsia="仿宋_GB2312"/>
          <w:sz w:val="28"/>
          <w:szCs w:val="24"/>
        </w:rPr>
      </w:pPr>
      <w:r>
        <w:rPr>
          <w:rFonts w:eastAsia="仿宋_GB2312"/>
          <w:sz w:val="28"/>
          <w:szCs w:val="24"/>
        </w:rPr>
        <w:t>提名奖项：自然科学奖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4D304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339B8728">
            <w:pPr>
              <w:jc w:val="center"/>
              <w:rPr>
                <w:rStyle w:val="6"/>
                <w:rFonts w:eastAsia="仿宋_GB2312"/>
                <w:b w:val="0"/>
                <w:color w:val="auto"/>
                <w:sz w:val="28"/>
              </w:rPr>
            </w:pPr>
            <w:r>
              <w:rPr>
                <w:rStyle w:val="6"/>
                <w:rFonts w:eastAsia="仿宋_GB2312"/>
                <w:b w:val="0"/>
                <w:bCs w:val="0"/>
                <w:color w:val="auto"/>
                <w:sz w:val="28"/>
              </w:rPr>
              <w:t>成果名称</w:t>
            </w:r>
          </w:p>
        </w:tc>
        <w:tc>
          <w:tcPr>
            <w:tcW w:w="6237" w:type="dxa"/>
            <w:vAlign w:val="center"/>
          </w:tcPr>
          <w:p w14:paraId="709CDF52">
            <w:pPr>
              <w:jc w:val="center"/>
              <w:rPr>
                <w:rStyle w:val="6"/>
                <w:rFonts w:eastAsia="仿宋_GB2312"/>
                <w:b w:val="0"/>
                <w:color w:val="auto"/>
                <w:sz w:val="28"/>
              </w:rPr>
            </w:pPr>
            <w:r>
              <w:rPr>
                <w:rFonts w:hint="eastAsia" w:eastAsia="仿宋_GB2312"/>
                <w:kern w:val="0"/>
                <w:sz w:val="28"/>
                <w:szCs w:val="28"/>
              </w:rPr>
              <w:t>发作性运动障碍的致病机制与干预策略</w:t>
            </w:r>
          </w:p>
        </w:tc>
      </w:tr>
      <w:tr w14:paraId="4D57B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50E6DF5E">
            <w:pPr>
              <w:jc w:val="center"/>
              <w:rPr>
                <w:rStyle w:val="6"/>
                <w:rFonts w:eastAsia="仿宋_GB2312"/>
                <w:b w:val="0"/>
                <w:color w:val="auto"/>
                <w:sz w:val="28"/>
              </w:rPr>
            </w:pPr>
            <w:r>
              <w:rPr>
                <w:rStyle w:val="6"/>
                <w:rFonts w:eastAsia="仿宋_GB2312"/>
                <w:b w:val="0"/>
                <w:bCs w:val="0"/>
                <w:color w:val="auto"/>
                <w:sz w:val="28"/>
              </w:rPr>
              <w:t>提名等级</w:t>
            </w:r>
          </w:p>
        </w:tc>
        <w:tc>
          <w:tcPr>
            <w:tcW w:w="6237" w:type="dxa"/>
            <w:vAlign w:val="center"/>
          </w:tcPr>
          <w:p w14:paraId="4413F982">
            <w:pPr>
              <w:jc w:val="center"/>
              <w:rPr>
                <w:rStyle w:val="6"/>
                <w:rFonts w:hint="eastAsia" w:eastAsia="仿宋_GB2312"/>
                <w:b w:val="0"/>
                <w:color w:val="auto"/>
                <w:sz w:val="28"/>
                <w:lang w:val="en-US" w:eastAsia="zh-CN"/>
              </w:rPr>
            </w:pPr>
            <w:r>
              <w:rPr>
                <w:rStyle w:val="6"/>
                <w:rFonts w:hint="eastAsia" w:eastAsia="仿宋_GB2312"/>
                <w:b w:val="0"/>
                <w:color w:val="auto"/>
                <w:sz w:val="28"/>
                <w:lang w:val="en-US" w:eastAsia="zh-CN"/>
              </w:rPr>
              <w:t>一等奖</w:t>
            </w:r>
          </w:p>
        </w:tc>
      </w:tr>
      <w:tr w14:paraId="20D56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39941B02">
            <w:pPr>
              <w:spacing w:line="440" w:lineRule="exact"/>
              <w:jc w:val="center"/>
              <w:rPr>
                <w:rFonts w:eastAsia="仿宋_GB2312"/>
                <w:bCs/>
                <w:sz w:val="28"/>
                <w:szCs w:val="24"/>
              </w:rPr>
            </w:pPr>
            <w:r>
              <w:rPr>
                <w:rFonts w:eastAsia="仿宋_GB2312"/>
                <w:bCs/>
                <w:sz w:val="28"/>
                <w:szCs w:val="24"/>
              </w:rPr>
              <w:t>提名书</w:t>
            </w:r>
          </w:p>
          <w:p w14:paraId="01DCE430">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4188DA7A">
            <w:pPr>
              <w:spacing w:line="500" w:lineRule="exact"/>
              <w:rPr>
                <w:rFonts w:eastAsia="仿宋_GB2312"/>
                <w:b/>
                <w:bCs/>
                <w:kern w:val="0"/>
                <w:sz w:val="24"/>
                <w:szCs w:val="24"/>
              </w:rPr>
            </w:pPr>
            <w:r>
              <w:rPr>
                <w:rFonts w:eastAsia="仿宋_GB2312"/>
                <w:b/>
                <w:bCs/>
                <w:kern w:val="0"/>
                <w:sz w:val="24"/>
                <w:szCs w:val="24"/>
              </w:rPr>
              <w:t>代表性论文专著目录</w:t>
            </w:r>
            <w:r>
              <w:rPr>
                <w:rFonts w:hint="eastAsia" w:eastAsia="仿宋_GB2312"/>
                <w:b/>
                <w:bCs/>
                <w:kern w:val="0"/>
                <w:sz w:val="24"/>
                <w:szCs w:val="24"/>
              </w:rPr>
              <w:t>：</w:t>
            </w:r>
          </w:p>
          <w:p w14:paraId="46CD0A6B">
            <w:pPr>
              <w:widowControl/>
              <w:numPr>
                <w:ilvl w:val="0"/>
                <w:numId w:val="1"/>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Chen WJ, Lin Yu, Xiong ZQ, Wei W, Ni W, Tan GH, Guo SL, He J, Chen YF, Zhang QJ, Li HF, Lin Yi, Murong SX, Xu J, Wang N*, Wu ZY*. Exome sequencing identifies truncating mutations in the PRRT2 gene that cause paroxysmal kinesigenic dyskinesia. Nat</w:t>
            </w:r>
            <w:r>
              <w:rPr>
                <w:rFonts w:hint="eastAsia" w:ascii="Times New Roman Regular" w:hAnsi="Times New Roman Regular" w:cs="Times New Roman Regular"/>
                <w:sz w:val="22"/>
                <w:szCs w:val="22"/>
              </w:rPr>
              <w:t>ure</w:t>
            </w:r>
            <w:r>
              <w:rPr>
                <w:rFonts w:ascii="Times New Roman Regular" w:hAnsi="Times New Roman Regular" w:cs="Times New Roman Regular"/>
                <w:sz w:val="22"/>
                <w:szCs w:val="22"/>
              </w:rPr>
              <w:t xml:space="preserve"> Genet</w:t>
            </w:r>
            <w:r>
              <w:rPr>
                <w:rFonts w:hint="eastAsia" w:ascii="Times New Roman Regular" w:hAnsi="Times New Roman Regular" w:cs="Times New Roman Regular"/>
                <w:sz w:val="22"/>
                <w:szCs w:val="22"/>
              </w:rPr>
              <w:t>ics</w:t>
            </w:r>
            <w:r>
              <w:rPr>
                <w:rFonts w:ascii="Times New Roman Regular" w:hAnsi="Times New Roman Regular" w:cs="Times New Roman Regular"/>
                <w:sz w:val="22"/>
                <w:szCs w:val="22"/>
              </w:rPr>
              <w:t xml:space="preserve"> 2011; 43(12): 1252-1255. </w:t>
            </w:r>
          </w:p>
          <w:p w14:paraId="2084674C">
            <w:pPr>
              <w:widowControl/>
              <w:numPr>
                <w:ilvl w:val="0"/>
                <w:numId w:val="1"/>
              </w:numPr>
              <w:spacing w:line="240" w:lineRule="auto"/>
              <w:ind w:left="845" w:leftChars="0" w:hanging="425" w:firstLineChars="0"/>
              <w:rPr>
                <w:rFonts w:hint="eastAsia" w:ascii="Times New Roman Regular" w:hAnsi="Times New Roman Regular" w:cs="Times New Roman Regular"/>
                <w:sz w:val="22"/>
                <w:szCs w:val="22"/>
              </w:rPr>
            </w:pPr>
            <w:r>
              <w:rPr>
                <w:rFonts w:ascii="Times New Roman Regular" w:hAnsi="Times New Roman Regular" w:cs="Times New Roman Regular"/>
                <w:sz w:val="22"/>
                <w:szCs w:val="22"/>
              </w:rPr>
              <w:t>Tan GH, Liu YY, Wang Lu, Li K, Zhang ZQ, Li HF, Zhang ZF, Li Y, Li D, Wu MY, Yu CL, Long JJ, Chen RC, Li LX, Yin LP, Liu JW, Cheng XW, Shen Q, Shu YS, Sakimura K, Liao LJ, Wu ZY, Xiong ZQ*. PRRT2 deficiency induces paroxysmal kinesigenic dyskinesia by regulating synaptic transmission in cerebellum. Cell Research 2018; 28</w:t>
            </w:r>
            <w:r>
              <w:rPr>
                <w:rFonts w:hint="eastAsia" w:ascii="Times New Roman Regular" w:hAnsi="Times New Roman Regular" w:cs="Times New Roman Regular"/>
                <w:sz w:val="22"/>
                <w:szCs w:val="22"/>
              </w:rPr>
              <w:t>(1)</w:t>
            </w:r>
            <w:r>
              <w:rPr>
                <w:rFonts w:ascii="Times New Roman Regular" w:hAnsi="Times New Roman Regular" w:cs="Times New Roman Regular"/>
                <w:sz w:val="22"/>
                <w:szCs w:val="22"/>
              </w:rPr>
              <w:t xml:space="preserve">: 90-110. </w:t>
            </w:r>
          </w:p>
          <w:p w14:paraId="495918B6">
            <w:pPr>
              <w:widowControl/>
              <w:numPr>
                <w:ilvl w:val="0"/>
                <w:numId w:val="1"/>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Li HF, Chen YL, Zhuang L, Chen DF, Ke HZ, Luo WJ, Liu GL, Wu SN, Zhou WH, Xiong ZQ*, Wu ZY*. TMEM151A variants cause paroxysmal kinesigenic dyskinesia. Cell Discov</w:t>
            </w:r>
            <w:r>
              <w:rPr>
                <w:rFonts w:hint="eastAsia" w:ascii="Times New Roman Regular" w:hAnsi="Times New Roman Regular" w:cs="Times New Roman Regular"/>
                <w:sz w:val="22"/>
                <w:szCs w:val="22"/>
              </w:rPr>
              <w:t>ery</w:t>
            </w:r>
            <w:r>
              <w:rPr>
                <w:rFonts w:ascii="Times New Roman Regular" w:hAnsi="Times New Roman Regular" w:cs="Times New Roman Regular"/>
                <w:sz w:val="22"/>
                <w:szCs w:val="22"/>
              </w:rPr>
              <w:t xml:space="preserve"> 2021;7(1):83.</w:t>
            </w:r>
          </w:p>
          <w:p w14:paraId="75004ECF">
            <w:pPr>
              <w:widowControl/>
              <w:numPr>
                <w:ilvl w:val="0"/>
                <w:numId w:val="1"/>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Lu B, Lou SS, Xu RS, Kong DL, Wu RJ, Zhang J, Zhuang L, Wu XM, He JY, Wu ZY, Xiong ZQ*. Cerebellar spreading depolarization mediates paroxysmal movement disorder. Cell Rep</w:t>
            </w:r>
            <w:r>
              <w:rPr>
                <w:rFonts w:hint="eastAsia" w:ascii="Times New Roman Regular" w:hAnsi="Times New Roman Regular" w:cs="Times New Roman Regular"/>
                <w:sz w:val="22"/>
                <w:szCs w:val="22"/>
              </w:rPr>
              <w:t>orts</w:t>
            </w:r>
            <w:r>
              <w:rPr>
                <w:rFonts w:ascii="Times New Roman Regular" w:hAnsi="Times New Roman Regular" w:cs="Times New Roman Regular"/>
                <w:sz w:val="22"/>
                <w:szCs w:val="22"/>
              </w:rPr>
              <w:t xml:space="preserve"> 2021; 36(12):109743.</w:t>
            </w:r>
          </w:p>
          <w:p w14:paraId="36EEE6ED">
            <w:pPr>
              <w:widowControl/>
              <w:numPr>
                <w:ilvl w:val="0"/>
                <w:numId w:val="1"/>
              </w:numPr>
              <w:spacing w:line="240" w:lineRule="auto"/>
              <w:ind w:left="845" w:leftChars="0" w:hanging="425" w:firstLineChars="0"/>
              <w:rPr>
                <w:rFonts w:hint="eastAsia" w:ascii="Times New Roman Regular" w:hAnsi="Times New Roman Regular" w:cs="Times New Roman Regular"/>
                <w:color w:val="212121"/>
                <w:sz w:val="22"/>
                <w:szCs w:val="22"/>
                <w:shd w:val="clear" w:color="auto" w:fill="FFFFFF"/>
              </w:rPr>
            </w:pPr>
            <w:r>
              <w:rPr>
                <w:rFonts w:ascii="Times New Roman Regular" w:hAnsi="Times New Roman Regular" w:cs="Times New Roman Regular"/>
                <w:sz w:val="22"/>
                <w:szCs w:val="22"/>
              </w:rPr>
              <w:t>Chen YL, Chen DF, Li HF*, Wu ZY*. Features differ between paroxysmal kinesigenic dyskinesia patients with PRRT2 and TMEM151A variants. Mov Disord. 2022; 37(3): 608-613.</w:t>
            </w:r>
          </w:p>
          <w:p w14:paraId="13375004">
            <w:pPr>
              <w:widowControl/>
              <w:numPr>
                <w:ilvl w:val="0"/>
                <w:numId w:val="1"/>
              </w:numPr>
              <w:spacing w:line="240" w:lineRule="auto"/>
              <w:ind w:left="845" w:leftChars="0" w:hanging="425" w:firstLineChars="0"/>
              <w:rPr>
                <w:rFonts w:hint="eastAsia" w:ascii="Times New Roman Regular" w:hAnsi="Times New Roman Regular" w:cs="Times New Roman Regular"/>
                <w:sz w:val="22"/>
                <w:szCs w:val="22"/>
              </w:rPr>
            </w:pPr>
            <w:r>
              <w:rPr>
                <w:rFonts w:ascii="Times New Roman Regular" w:hAnsi="Times New Roman Regular" w:cs="Times New Roman Regular"/>
                <w:sz w:val="22"/>
                <w:szCs w:val="22"/>
              </w:rPr>
              <w:t>Li HF, Chen WJ, Ni W, Wang KY, Liu GL, Wang N, Xiong ZQ, Xu J, Wu ZY*. PRRT2 mutation correlated with phenotype of paroxysmal kinesigenic dyskinesia and drug response. Neurology 2013; 80(16):1534-1535.</w:t>
            </w:r>
          </w:p>
          <w:p w14:paraId="25BEE889">
            <w:pPr>
              <w:widowControl/>
              <w:numPr>
                <w:ilvl w:val="0"/>
                <w:numId w:val="1"/>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Li HF, Ni W, Xiong ZQ, Xu JF, Wu ZY*. PRRT2 c.649dupC mutation derived from de novo in paroxysmal kinesigenic dyskinesia. CNS Neuroscience &amp; Therapeutics 2013; 19(1): 61-65.</w:t>
            </w:r>
            <w:r>
              <w:rPr>
                <w:rFonts w:hint="eastAsia" w:ascii="Times New Roman Regular" w:hAnsi="Times New Roman Regular" w:cs="Times New Roman Regular"/>
                <w:sz w:val="22"/>
                <w:szCs w:val="22"/>
              </w:rPr>
              <w:t xml:space="preserve"> </w:t>
            </w:r>
          </w:p>
          <w:p w14:paraId="5AA53DA0">
            <w:pPr>
              <w:widowControl/>
              <w:numPr>
                <w:ilvl w:val="0"/>
                <w:numId w:val="1"/>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Chen YL, Chen DF, Ke HZ, Zhao SY, Li HF*, Wu ZY*. Paroxysmal kinesigenic dyskinesia caused by 16p11.2 microdeletion and related clinical features. Neurology-</w:t>
            </w:r>
            <w:r>
              <w:rPr>
                <w:rFonts w:hint="eastAsia" w:ascii="Times New Roman Regular" w:hAnsi="Times New Roman Regular" w:cs="Times New Roman Regular"/>
                <w:sz w:val="22"/>
                <w:szCs w:val="22"/>
              </w:rPr>
              <w:t>G</w:t>
            </w:r>
            <w:r>
              <w:rPr>
                <w:rFonts w:ascii="Times New Roman Regular" w:hAnsi="Times New Roman Regular" w:cs="Times New Roman Regular"/>
                <w:sz w:val="22"/>
                <w:szCs w:val="22"/>
              </w:rPr>
              <w:t>enetics 2022; 8(2): e659.</w:t>
            </w:r>
          </w:p>
          <w:p w14:paraId="6770445E">
            <w:pPr>
              <w:spacing w:line="500" w:lineRule="exact"/>
              <w:rPr>
                <w:rFonts w:eastAsia="仿宋_GB2312"/>
                <w:b/>
                <w:bCs/>
                <w:kern w:val="0"/>
                <w:sz w:val="28"/>
                <w:szCs w:val="28"/>
              </w:rPr>
            </w:pPr>
            <w:r>
              <w:rPr>
                <w:rFonts w:eastAsia="仿宋_GB2312"/>
                <w:b/>
                <w:bCs/>
                <w:kern w:val="0"/>
                <w:sz w:val="24"/>
                <w:szCs w:val="24"/>
              </w:rPr>
              <w:t>主要</w:t>
            </w:r>
            <w:r>
              <w:rPr>
                <w:rFonts w:eastAsia="仿宋_GB2312"/>
                <w:b/>
                <w:bCs/>
                <w:sz w:val="24"/>
                <w:szCs w:val="24"/>
              </w:rPr>
              <w:t>知识产权和标准规范</w:t>
            </w:r>
            <w:r>
              <w:rPr>
                <w:rFonts w:eastAsia="仿宋_GB2312"/>
                <w:b/>
                <w:bCs/>
                <w:kern w:val="0"/>
                <w:sz w:val="24"/>
                <w:szCs w:val="24"/>
              </w:rPr>
              <w:t>目录</w:t>
            </w:r>
            <w:r>
              <w:rPr>
                <w:rFonts w:hint="eastAsia" w:eastAsia="仿宋_GB2312"/>
                <w:b/>
                <w:bCs/>
                <w:kern w:val="0"/>
                <w:sz w:val="24"/>
                <w:szCs w:val="24"/>
              </w:rPr>
              <w:t>：</w:t>
            </w:r>
          </w:p>
          <w:p w14:paraId="395C89DB">
            <w:pPr>
              <w:numPr>
                <w:ilvl w:val="0"/>
                <w:numId w:val="2"/>
              </w:numPr>
              <w:spacing w:line="500" w:lineRule="exact"/>
              <w:ind w:left="425" w:leftChars="0" w:hanging="425" w:firstLineChars="0"/>
              <w:rPr>
                <w:rFonts w:eastAsia="仿宋_GB2312"/>
                <w:kern w:val="0"/>
                <w:sz w:val="24"/>
                <w:szCs w:val="24"/>
              </w:rPr>
            </w:pPr>
            <w:r>
              <w:rPr>
                <w:rFonts w:hint="eastAsia" w:eastAsia="仿宋_GB2312"/>
                <w:kern w:val="0"/>
                <w:sz w:val="24"/>
                <w:szCs w:val="24"/>
                <w:lang w:val="en-US" w:eastAsia="zh-CN"/>
              </w:rPr>
              <w:t>熊志奇等，</w:t>
            </w:r>
            <w:r>
              <w:rPr>
                <w:rFonts w:hint="eastAsia" w:eastAsia="仿宋_GB2312"/>
                <w:kern w:val="0"/>
                <w:sz w:val="24"/>
                <w:szCs w:val="24"/>
              </w:rPr>
              <w:t>作用于前脑兴奋性神经元的PRRT2及其上调剂的应用</w:t>
            </w:r>
            <w:r>
              <w:rPr>
                <w:rFonts w:hint="eastAsia" w:eastAsia="仿宋_GB2312"/>
                <w:kern w:val="0"/>
                <w:sz w:val="24"/>
                <w:szCs w:val="24"/>
                <w:lang w:eastAsia="zh-CN"/>
              </w:rPr>
              <w:t>，</w:t>
            </w:r>
            <w:r>
              <w:rPr>
                <w:rFonts w:hint="eastAsia" w:eastAsia="仿宋_GB2312"/>
                <w:kern w:val="0"/>
                <w:sz w:val="24"/>
                <w:szCs w:val="24"/>
                <w:lang w:val="en-US" w:eastAsia="zh-CN"/>
              </w:rPr>
              <w:t>专利授权号：ZL 2023 1 1118635.7，授权公告日：2024.6.4</w:t>
            </w:r>
          </w:p>
          <w:p w14:paraId="467F0A1F">
            <w:pPr>
              <w:numPr>
                <w:ilvl w:val="0"/>
                <w:numId w:val="2"/>
              </w:numPr>
              <w:spacing w:line="500" w:lineRule="exact"/>
              <w:ind w:left="425" w:leftChars="0" w:hanging="425" w:firstLineChars="0"/>
              <w:rPr>
                <w:rFonts w:eastAsia="仿宋_GB2312"/>
                <w:kern w:val="0"/>
                <w:sz w:val="24"/>
                <w:szCs w:val="24"/>
              </w:rPr>
            </w:pPr>
            <w:r>
              <w:rPr>
                <w:rFonts w:hint="eastAsia" w:eastAsia="仿宋_GB2312"/>
                <w:kern w:val="0"/>
                <w:sz w:val="24"/>
                <w:szCs w:val="24"/>
                <w:lang w:val="en-US" w:eastAsia="zh-CN"/>
              </w:rPr>
              <w:t>熊志奇等，</w:t>
            </w:r>
            <w:r>
              <w:rPr>
                <w:rFonts w:hint="eastAsia" w:eastAsia="仿宋_GB2312"/>
                <w:kern w:val="0"/>
                <w:sz w:val="24"/>
                <w:szCs w:val="24"/>
              </w:rPr>
              <w:t>一种运动障碍动物的建立方法及其用途</w:t>
            </w:r>
            <w:r>
              <w:rPr>
                <w:rFonts w:hint="eastAsia" w:eastAsia="仿宋_GB2312"/>
                <w:kern w:val="0"/>
                <w:sz w:val="24"/>
                <w:szCs w:val="24"/>
                <w:lang w:eastAsia="zh-CN"/>
              </w:rPr>
              <w:t>，</w:t>
            </w:r>
            <w:r>
              <w:rPr>
                <w:rFonts w:hint="eastAsia" w:eastAsia="仿宋_GB2312"/>
                <w:kern w:val="0"/>
                <w:sz w:val="24"/>
                <w:szCs w:val="24"/>
                <w:lang w:val="en-US" w:eastAsia="zh-CN"/>
              </w:rPr>
              <w:t>专利授权号：ZL 2017 1 0495086.3，授权公告日：2022.2.15</w:t>
            </w:r>
          </w:p>
          <w:p w14:paraId="0C5A3111">
            <w:pPr>
              <w:numPr>
                <w:ilvl w:val="0"/>
                <w:numId w:val="2"/>
              </w:numPr>
              <w:spacing w:line="500" w:lineRule="exact"/>
              <w:ind w:left="425" w:leftChars="0" w:hanging="425" w:firstLineChars="0"/>
              <w:rPr>
                <w:rFonts w:eastAsia="仿宋_GB2312"/>
                <w:bCs/>
                <w:sz w:val="24"/>
                <w:szCs w:val="24"/>
              </w:rPr>
            </w:pPr>
            <w:r>
              <w:rPr>
                <w:rFonts w:hint="eastAsia" w:eastAsia="仿宋_GB2312"/>
                <w:kern w:val="0"/>
                <w:sz w:val="24"/>
                <w:szCs w:val="24"/>
                <w:lang w:val="en-US" w:eastAsia="zh-CN"/>
              </w:rPr>
              <w:t>熊志奇等，</w:t>
            </w:r>
            <w:r>
              <w:rPr>
                <w:rFonts w:hint="eastAsia" w:eastAsia="仿宋_GB2312"/>
                <w:kern w:val="0"/>
                <w:sz w:val="24"/>
                <w:szCs w:val="24"/>
              </w:rPr>
              <w:t>一种非人灵长类动物神经疾病动物模型的建立方法及其用途</w:t>
            </w:r>
            <w:r>
              <w:rPr>
                <w:rFonts w:hint="eastAsia" w:eastAsia="仿宋_GB2312"/>
                <w:kern w:val="0"/>
                <w:sz w:val="24"/>
                <w:szCs w:val="24"/>
                <w:lang w:eastAsia="zh-CN"/>
              </w:rPr>
              <w:t>，</w:t>
            </w:r>
            <w:r>
              <w:rPr>
                <w:rFonts w:hint="eastAsia" w:eastAsia="仿宋_GB2312"/>
                <w:kern w:val="0"/>
                <w:sz w:val="24"/>
                <w:szCs w:val="24"/>
                <w:lang w:val="en-US" w:eastAsia="zh-CN"/>
              </w:rPr>
              <w:t>专利授权号：</w:t>
            </w:r>
            <w:r>
              <w:rPr>
                <w:rFonts w:hint="eastAsia" w:eastAsia="仿宋_GB2312"/>
                <w:kern w:val="0"/>
                <w:sz w:val="24"/>
                <w:szCs w:val="24"/>
                <w:lang w:eastAsia="zh-CN"/>
              </w:rPr>
              <w:t>ZL 2016 1 0905336.1，</w:t>
            </w:r>
            <w:r>
              <w:rPr>
                <w:rFonts w:hint="eastAsia" w:eastAsia="仿宋_GB2312"/>
                <w:kern w:val="0"/>
                <w:sz w:val="24"/>
                <w:szCs w:val="24"/>
                <w:lang w:val="en-US" w:eastAsia="zh-CN"/>
              </w:rPr>
              <w:t>授权公告日：2021.8.13</w:t>
            </w:r>
          </w:p>
          <w:p w14:paraId="4E4B6B98">
            <w:pPr>
              <w:numPr>
                <w:ilvl w:val="0"/>
                <w:numId w:val="2"/>
              </w:numPr>
              <w:spacing w:line="500" w:lineRule="exact"/>
              <w:ind w:left="425" w:leftChars="0" w:hanging="425" w:firstLineChars="0"/>
              <w:rPr>
                <w:rFonts w:eastAsia="仿宋_GB2312"/>
                <w:bCs/>
                <w:sz w:val="24"/>
                <w:szCs w:val="24"/>
              </w:rPr>
            </w:pPr>
            <w:r>
              <w:rPr>
                <w:rFonts w:hint="eastAsia" w:eastAsia="仿宋_GB2312"/>
                <w:bCs/>
                <w:sz w:val="24"/>
                <w:szCs w:val="24"/>
              </w:rPr>
              <w:t>吴志英，王柠. 中华医学会神经病学分会神经遗传学组, 中国医师协会神经内科医师分会神经遗传学组. 中国发作性运动诱发性运动障碍诊治指南[J]，中华神经科杂志, 2022, 55(1): 9-14</w:t>
            </w:r>
          </w:p>
        </w:tc>
      </w:tr>
      <w:tr w14:paraId="3DFEC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36942262">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1C0618F4">
            <w:pPr>
              <w:spacing w:line="440" w:lineRule="exact"/>
              <w:rPr>
                <w:rFonts w:hint="eastAsia" w:eastAsia="仿宋_GB2312"/>
                <w:bCs/>
                <w:sz w:val="24"/>
                <w:szCs w:val="24"/>
                <w:lang w:val="en-US" w:eastAsia="zh-CN"/>
              </w:rPr>
            </w:pPr>
            <w:r>
              <w:rPr>
                <w:rFonts w:hint="eastAsia" w:eastAsia="仿宋_GB2312"/>
                <w:bCs/>
                <w:sz w:val="24"/>
                <w:szCs w:val="24"/>
              </w:rPr>
              <w:t>吴志英，</w:t>
            </w:r>
            <w:r>
              <w:rPr>
                <w:rFonts w:hint="eastAsia" w:eastAsia="仿宋_GB2312"/>
                <w:bCs/>
                <w:sz w:val="24"/>
                <w:szCs w:val="24"/>
                <w:lang w:val="en-US" w:eastAsia="zh-CN"/>
              </w:rPr>
              <w:t>排名1，教授/主任医师，浙江大学医学院附属第二医院</w:t>
            </w:r>
          </w:p>
          <w:p w14:paraId="216B1656">
            <w:pPr>
              <w:spacing w:line="440" w:lineRule="exact"/>
              <w:rPr>
                <w:rFonts w:hint="eastAsia" w:eastAsia="仿宋_GB2312"/>
                <w:bCs/>
                <w:sz w:val="24"/>
                <w:szCs w:val="24"/>
              </w:rPr>
            </w:pPr>
            <w:r>
              <w:rPr>
                <w:rFonts w:hint="eastAsia" w:eastAsia="仿宋_GB2312"/>
                <w:bCs/>
                <w:sz w:val="24"/>
                <w:szCs w:val="24"/>
              </w:rPr>
              <w:t>熊志奇，</w:t>
            </w:r>
            <w:r>
              <w:rPr>
                <w:rFonts w:hint="eastAsia" w:eastAsia="仿宋_GB2312"/>
                <w:bCs/>
                <w:sz w:val="24"/>
                <w:szCs w:val="24"/>
                <w:lang w:val="en-US" w:eastAsia="zh-CN"/>
              </w:rPr>
              <w:t>排名2，高级研究员，</w:t>
            </w:r>
            <w:r>
              <w:rPr>
                <w:rFonts w:hint="eastAsia" w:eastAsia="仿宋_GB2312"/>
                <w:bCs/>
                <w:sz w:val="24"/>
                <w:szCs w:val="24"/>
              </w:rPr>
              <w:t>中国科学院脑科学与智能技术卓越创新中心</w:t>
            </w:r>
          </w:p>
          <w:p w14:paraId="47F33B32">
            <w:pPr>
              <w:spacing w:line="440" w:lineRule="exact"/>
              <w:rPr>
                <w:rFonts w:hint="eastAsia" w:eastAsia="仿宋_GB2312"/>
                <w:bCs/>
                <w:sz w:val="24"/>
                <w:szCs w:val="24"/>
              </w:rPr>
            </w:pPr>
            <w:r>
              <w:rPr>
                <w:rFonts w:hint="eastAsia" w:eastAsia="仿宋_GB2312"/>
                <w:bCs/>
                <w:sz w:val="24"/>
                <w:szCs w:val="24"/>
              </w:rPr>
              <w:t>陈万金，</w:t>
            </w:r>
            <w:r>
              <w:rPr>
                <w:rFonts w:hint="eastAsia" w:eastAsia="仿宋_GB2312"/>
                <w:bCs/>
                <w:sz w:val="24"/>
                <w:szCs w:val="24"/>
                <w:lang w:val="en-US" w:eastAsia="zh-CN"/>
              </w:rPr>
              <w:t>排名3，主任医师，</w:t>
            </w:r>
            <w:r>
              <w:rPr>
                <w:rFonts w:hint="eastAsia" w:eastAsia="仿宋_GB2312"/>
                <w:bCs/>
                <w:sz w:val="24"/>
                <w:szCs w:val="24"/>
              </w:rPr>
              <w:t>福建医科大学附属第一医院</w:t>
            </w:r>
          </w:p>
          <w:p w14:paraId="62E5058B">
            <w:pPr>
              <w:spacing w:line="440" w:lineRule="exact"/>
              <w:rPr>
                <w:rFonts w:hint="eastAsia" w:eastAsia="仿宋_GB2312"/>
                <w:bCs/>
                <w:sz w:val="24"/>
                <w:szCs w:val="24"/>
                <w:lang w:val="en-US" w:eastAsia="zh-CN"/>
              </w:rPr>
            </w:pPr>
            <w:r>
              <w:rPr>
                <w:rFonts w:hint="eastAsia" w:eastAsia="仿宋_GB2312"/>
                <w:bCs/>
                <w:sz w:val="24"/>
                <w:szCs w:val="24"/>
              </w:rPr>
              <w:t>李宏福，</w:t>
            </w:r>
            <w:r>
              <w:rPr>
                <w:rFonts w:hint="eastAsia" w:eastAsia="仿宋_GB2312"/>
                <w:bCs/>
                <w:sz w:val="24"/>
                <w:szCs w:val="24"/>
                <w:lang w:val="en-US" w:eastAsia="zh-CN"/>
              </w:rPr>
              <w:t>排名4，副主任医师，浙江大学医学院附属第二医院</w:t>
            </w:r>
          </w:p>
          <w:p w14:paraId="667F5578">
            <w:pPr>
              <w:spacing w:line="440" w:lineRule="exact"/>
              <w:rPr>
                <w:rFonts w:eastAsia="仿宋_GB2312"/>
                <w:bCs/>
                <w:sz w:val="24"/>
                <w:szCs w:val="24"/>
              </w:rPr>
            </w:pPr>
            <w:r>
              <w:rPr>
                <w:rFonts w:hint="eastAsia" w:eastAsia="仿宋_GB2312"/>
                <w:bCs/>
                <w:sz w:val="24"/>
                <w:szCs w:val="24"/>
              </w:rPr>
              <w:t>陈玉兰</w:t>
            </w:r>
            <w:r>
              <w:rPr>
                <w:rFonts w:hint="eastAsia" w:eastAsia="仿宋_GB2312"/>
                <w:bCs/>
                <w:sz w:val="24"/>
                <w:szCs w:val="24"/>
                <w:lang w:eastAsia="zh-CN"/>
              </w:rPr>
              <w:t>，</w:t>
            </w:r>
            <w:r>
              <w:rPr>
                <w:rFonts w:hint="eastAsia" w:eastAsia="仿宋_GB2312"/>
                <w:bCs/>
                <w:sz w:val="24"/>
                <w:szCs w:val="24"/>
                <w:lang w:val="en-US" w:eastAsia="zh-CN"/>
              </w:rPr>
              <w:t>排名5，主治医师，浙江大学医学院附属第二医院</w:t>
            </w:r>
          </w:p>
        </w:tc>
      </w:tr>
      <w:tr w14:paraId="63E9F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720536D6">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4D159A11">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lang w:val="en-US" w:eastAsia="zh-CN"/>
              </w:rPr>
              <w:t>浙江大学医学院附属第二医院</w:t>
            </w:r>
          </w:p>
          <w:p w14:paraId="50C44E6C">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中国科学院脑科学与智能技术卓越创新中心</w:t>
            </w:r>
          </w:p>
          <w:p w14:paraId="50BFAA02">
            <w:pPr>
              <w:spacing w:line="440" w:lineRule="exact"/>
              <w:jc w:val="left"/>
              <w:rPr>
                <w:rFonts w:eastAsia="仿宋"/>
                <w:bCs/>
                <w:sz w:val="24"/>
                <w:szCs w:val="24"/>
              </w:rPr>
            </w:pPr>
            <w:r>
              <w:rPr>
                <w:rFonts w:eastAsia="仿宋_GB2312"/>
                <w:bCs/>
                <w:sz w:val="24"/>
                <w:szCs w:val="24"/>
              </w:rPr>
              <w:t>3.单位名称：</w:t>
            </w:r>
            <w:r>
              <w:rPr>
                <w:rFonts w:hint="eastAsia" w:eastAsia="仿宋_GB2312"/>
                <w:bCs/>
                <w:sz w:val="24"/>
                <w:szCs w:val="24"/>
              </w:rPr>
              <w:t>福建医科大学附属第一医院</w:t>
            </w:r>
          </w:p>
        </w:tc>
      </w:tr>
      <w:tr w14:paraId="7636C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221E16BC">
            <w:pPr>
              <w:jc w:val="center"/>
              <w:rPr>
                <w:rStyle w:val="6"/>
                <w:rFonts w:eastAsia="仿宋_GB2312"/>
                <w:b w:val="0"/>
                <w:color w:val="auto"/>
                <w:sz w:val="28"/>
                <w:szCs w:val="28"/>
              </w:rPr>
            </w:pPr>
            <w:r>
              <w:rPr>
                <w:rStyle w:val="6"/>
                <w:rFonts w:eastAsia="仿宋_GB2312"/>
                <w:b w:val="0"/>
                <w:color w:val="auto"/>
                <w:sz w:val="28"/>
                <w:szCs w:val="28"/>
              </w:rPr>
              <w:t>提名单位</w:t>
            </w:r>
          </w:p>
        </w:tc>
        <w:tc>
          <w:tcPr>
            <w:tcW w:w="6237" w:type="dxa"/>
            <w:vAlign w:val="center"/>
          </w:tcPr>
          <w:p w14:paraId="775AECAE">
            <w:pPr>
              <w:contextualSpacing/>
              <w:jc w:val="center"/>
              <w:rPr>
                <w:rStyle w:val="6"/>
                <w:rFonts w:hint="eastAsia" w:eastAsia="宋体"/>
                <w:b w:val="0"/>
                <w:color w:val="auto"/>
                <w:lang w:val="en-US" w:eastAsia="zh-CN"/>
              </w:rPr>
            </w:pPr>
            <w:r>
              <w:rPr>
                <w:rStyle w:val="6"/>
                <w:rFonts w:hint="eastAsia"/>
                <w:b w:val="0"/>
                <w:color w:val="auto"/>
                <w:lang w:val="en-US" w:eastAsia="zh-CN"/>
              </w:rPr>
              <w:t>浙江大学</w:t>
            </w:r>
          </w:p>
        </w:tc>
      </w:tr>
      <w:tr w14:paraId="61CEB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2F5E2BA7">
            <w:pPr>
              <w:jc w:val="center"/>
              <w:rPr>
                <w:rStyle w:val="6"/>
                <w:rFonts w:eastAsia="仿宋_GB2312"/>
                <w:b w:val="0"/>
                <w:color w:val="auto"/>
                <w:sz w:val="28"/>
                <w:szCs w:val="28"/>
              </w:rPr>
            </w:pPr>
            <w:r>
              <w:rPr>
                <w:rStyle w:val="6"/>
                <w:rFonts w:eastAsia="仿宋_GB2312"/>
                <w:b w:val="0"/>
                <w:color w:val="auto"/>
                <w:sz w:val="28"/>
                <w:szCs w:val="28"/>
              </w:rPr>
              <w:t>提名意见</w:t>
            </w:r>
          </w:p>
        </w:tc>
        <w:tc>
          <w:tcPr>
            <w:tcW w:w="6237" w:type="dxa"/>
            <w:vAlign w:val="center"/>
          </w:tcPr>
          <w:p w14:paraId="45B0E6F8">
            <w:pPr>
              <w:adjustRightInd w:val="0"/>
              <w:snapToGrid w:val="0"/>
              <w:spacing w:after="0" w:line="240" w:lineRule="auto"/>
              <w:jc w:val="both"/>
              <w:rPr>
                <w:rFonts w:eastAsia="仿宋_GB2312"/>
                <w:sz w:val="24"/>
                <w:szCs w:val="24"/>
              </w:rPr>
            </w:pPr>
            <w:r>
              <w:rPr>
                <w:rFonts w:eastAsia="仿宋_GB2312"/>
                <w:sz w:val="24"/>
                <w:szCs w:val="24"/>
              </w:rPr>
              <w:t>发作性运动诱发性运动障碍（paroxysmal kinesigenic dyskinesia，PKD）是临床上最常见的发作性运动障碍，严重影响患者的学习、工作和身心健康。由于缺乏特异性诊断标志物，其诊疗面临诸多挑战，致病机制的阐明亦成为领域内的瓶颈问题。本成果围绕这些瓶颈问题和临床挑战，历经20年，完成了从遗传病因解析到致病机制探究、再到精准诊疗临床转化的</w:t>
            </w:r>
            <w:r>
              <w:rPr>
                <w:rFonts w:hint="eastAsia" w:eastAsia="仿宋_GB2312"/>
                <w:sz w:val="24"/>
                <w:szCs w:val="24"/>
              </w:rPr>
              <w:t>系列</w:t>
            </w:r>
            <w:r>
              <w:rPr>
                <w:rFonts w:eastAsia="仿宋_GB2312"/>
                <w:sz w:val="24"/>
                <w:szCs w:val="24"/>
              </w:rPr>
              <w:t>原创性</w:t>
            </w:r>
            <w:r>
              <w:rPr>
                <w:rFonts w:hint="eastAsia" w:eastAsia="仿宋_GB2312"/>
                <w:sz w:val="24"/>
                <w:szCs w:val="24"/>
              </w:rPr>
              <w:t>及</w:t>
            </w:r>
            <w:r>
              <w:rPr>
                <w:rFonts w:eastAsia="仿宋_GB2312"/>
                <w:sz w:val="24"/>
                <w:szCs w:val="24"/>
              </w:rPr>
              <w:t>国际引领性</w:t>
            </w:r>
            <w:r>
              <w:rPr>
                <w:rFonts w:hint="eastAsia" w:eastAsia="仿宋_GB2312"/>
                <w:sz w:val="24"/>
                <w:szCs w:val="24"/>
              </w:rPr>
              <w:t>工作。</w:t>
            </w:r>
          </w:p>
          <w:p w14:paraId="757FB692">
            <w:pPr>
              <w:adjustRightInd w:val="0"/>
              <w:snapToGrid w:val="0"/>
              <w:spacing w:after="0" w:line="240" w:lineRule="auto"/>
              <w:ind w:firstLine="480" w:firstLineChars="200"/>
              <w:jc w:val="both"/>
              <w:rPr>
                <w:rFonts w:eastAsia="仿宋_GB2312"/>
                <w:sz w:val="24"/>
                <w:szCs w:val="24"/>
              </w:rPr>
            </w:pPr>
            <w:r>
              <w:rPr>
                <w:rFonts w:hint="eastAsia" w:eastAsia="仿宋_GB2312"/>
                <w:sz w:val="24"/>
                <w:szCs w:val="24"/>
              </w:rPr>
              <w:t>在遗传病因解析上，本成果率先发现了PKD的首个致病基因PRRT2，使之成为诊断PKD的金标准，</w:t>
            </w:r>
            <w:r>
              <w:rPr>
                <w:rFonts w:eastAsia="仿宋_GB2312"/>
                <w:sz w:val="24"/>
                <w:szCs w:val="24"/>
              </w:rPr>
              <w:t>该发现不仅填补了领域内空白，解决了长期困扰研究者的难题，也为发作性运动障碍的致病机制阐明和</w:t>
            </w:r>
            <w:r>
              <w:rPr>
                <w:rFonts w:hint="eastAsia" w:eastAsia="仿宋_GB2312"/>
                <w:sz w:val="24"/>
                <w:szCs w:val="24"/>
              </w:rPr>
              <w:t>精准诊疗</w:t>
            </w:r>
            <w:r>
              <w:rPr>
                <w:rFonts w:eastAsia="仿宋_GB2312"/>
                <w:sz w:val="24"/>
                <w:szCs w:val="24"/>
              </w:rPr>
              <w:t>研究奠定了坚实的基础。在此基础上，本</w:t>
            </w:r>
            <w:r>
              <w:rPr>
                <w:rFonts w:hint="eastAsia" w:eastAsia="仿宋_GB2312"/>
                <w:sz w:val="24"/>
                <w:szCs w:val="24"/>
              </w:rPr>
              <w:t>成果</w:t>
            </w:r>
            <w:r>
              <w:rPr>
                <w:rFonts w:eastAsia="仿宋_GB2312"/>
                <w:sz w:val="24"/>
                <w:szCs w:val="24"/>
              </w:rPr>
              <w:t>还发现并报道了PKD的第二个致病基因TMEM151A。目前PRRT2和TMEM151A已被在线人类孟德尔遗传（OMIM）数据库收录，将家族性PKD患者的确诊率提高到90%以上。</w:t>
            </w:r>
          </w:p>
          <w:p w14:paraId="472082FB">
            <w:pPr>
              <w:adjustRightInd w:val="0"/>
              <w:snapToGrid w:val="0"/>
              <w:spacing w:after="0" w:line="240" w:lineRule="auto"/>
              <w:ind w:firstLine="480" w:firstLineChars="200"/>
              <w:jc w:val="both"/>
              <w:rPr>
                <w:rFonts w:eastAsia="仿宋_GB2312"/>
                <w:sz w:val="24"/>
                <w:szCs w:val="24"/>
              </w:rPr>
            </w:pPr>
            <w:r>
              <w:rPr>
                <w:rFonts w:eastAsia="仿宋_GB2312"/>
                <w:sz w:val="24"/>
                <w:szCs w:val="24"/>
              </w:rPr>
              <w:t>在致病机制研究</w:t>
            </w:r>
            <w:r>
              <w:rPr>
                <w:rFonts w:hint="eastAsia" w:eastAsia="仿宋_GB2312"/>
                <w:sz w:val="24"/>
                <w:szCs w:val="24"/>
              </w:rPr>
              <w:t>上</w:t>
            </w:r>
            <w:r>
              <w:rPr>
                <w:rFonts w:eastAsia="仿宋_GB2312"/>
                <w:sz w:val="24"/>
                <w:szCs w:val="24"/>
              </w:rPr>
              <w:t>，</w:t>
            </w:r>
            <w:r>
              <w:rPr>
                <w:rFonts w:hint="eastAsia" w:eastAsia="仿宋_GB2312"/>
                <w:sz w:val="24"/>
                <w:szCs w:val="24"/>
              </w:rPr>
              <w:t>本成果</w:t>
            </w:r>
            <w:r>
              <w:rPr>
                <w:rFonts w:eastAsia="仿宋_GB2312"/>
                <w:sz w:val="24"/>
                <w:szCs w:val="24"/>
              </w:rPr>
              <w:t>基于PRRT2基因的发现</w:t>
            </w:r>
            <w:r>
              <w:rPr>
                <w:rFonts w:hint="eastAsia" w:eastAsia="仿宋_GB2312"/>
                <w:sz w:val="24"/>
                <w:szCs w:val="24"/>
              </w:rPr>
              <w:t>，</w:t>
            </w:r>
            <w:r>
              <w:rPr>
                <w:rFonts w:eastAsia="仿宋_GB2312"/>
                <w:sz w:val="24"/>
                <w:szCs w:val="24"/>
              </w:rPr>
              <w:t>揭示了PRRT2突变导致PKD</w:t>
            </w:r>
            <w:r>
              <w:rPr>
                <w:rFonts w:hint="eastAsia" w:eastAsia="仿宋_GB2312"/>
                <w:sz w:val="24"/>
                <w:szCs w:val="24"/>
              </w:rPr>
              <w:t>等</w:t>
            </w:r>
            <w:r>
              <w:rPr>
                <w:rFonts w:eastAsia="仿宋_GB2312"/>
                <w:sz w:val="24"/>
                <w:szCs w:val="24"/>
              </w:rPr>
              <w:t>发作性运动障碍的病理机制，率先发现小脑是参与发作性运动障碍</w:t>
            </w:r>
            <w:r>
              <w:rPr>
                <w:rFonts w:hint="eastAsia" w:eastAsia="仿宋_GB2312"/>
                <w:sz w:val="24"/>
                <w:szCs w:val="24"/>
              </w:rPr>
              <w:t>发生</w:t>
            </w:r>
            <w:r>
              <w:rPr>
                <w:rFonts w:eastAsia="仿宋_GB2312"/>
                <w:sz w:val="24"/>
                <w:szCs w:val="24"/>
              </w:rPr>
              <w:t>的关键脑区，证实了PRRT2突变会导致小脑皮层对“去极化扩布”易感，从而提出发作性运动障碍的“小脑去极化扩布”假说，为发作性疾病的研究提供了新理论和新范式。</w:t>
            </w:r>
          </w:p>
          <w:p w14:paraId="276303B7">
            <w:pPr>
              <w:adjustRightInd w:val="0"/>
              <w:snapToGrid w:val="0"/>
              <w:spacing w:after="0" w:line="240" w:lineRule="auto"/>
              <w:ind w:firstLine="480" w:firstLineChars="200"/>
              <w:jc w:val="both"/>
              <w:rPr>
                <w:rStyle w:val="6"/>
                <w:b w:val="0"/>
                <w:color w:val="auto"/>
              </w:rPr>
            </w:pPr>
            <w:r>
              <w:rPr>
                <w:rFonts w:eastAsia="仿宋_GB2312"/>
                <w:sz w:val="24"/>
                <w:szCs w:val="24"/>
              </w:rPr>
              <w:t>在</w:t>
            </w:r>
            <w:r>
              <w:rPr>
                <w:rFonts w:hint="eastAsia" w:eastAsia="仿宋_GB2312"/>
                <w:sz w:val="24"/>
                <w:szCs w:val="24"/>
              </w:rPr>
              <w:t>精准诊疗</w:t>
            </w:r>
            <w:r>
              <w:rPr>
                <w:rFonts w:eastAsia="仿宋_GB2312"/>
                <w:sz w:val="24"/>
                <w:szCs w:val="24"/>
              </w:rPr>
              <w:t>临床转化</w:t>
            </w:r>
            <w:r>
              <w:rPr>
                <w:rFonts w:hint="eastAsia" w:eastAsia="仿宋_GB2312"/>
                <w:sz w:val="24"/>
                <w:szCs w:val="24"/>
              </w:rPr>
              <w:t>上</w:t>
            </w:r>
            <w:r>
              <w:rPr>
                <w:rFonts w:eastAsia="仿宋_GB2312"/>
                <w:sz w:val="24"/>
                <w:szCs w:val="24"/>
              </w:rPr>
              <w:t>，</w:t>
            </w:r>
            <w:r>
              <w:rPr>
                <w:rFonts w:hint="eastAsia" w:eastAsia="仿宋_GB2312"/>
                <w:sz w:val="24"/>
                <w:szCs w:val="24"/>
              </w:rPr>
              <w:t>本成果</w:t>
            </w:r>
            <w:r>
              <w:rPr>
                <w:rFonts w:eastAsia="仿宋_GB2312"/>
                <w:sz w:val="24"/>
                <w:szCs w:val="24"/>
              </w:rPr>
              <w:t>基于PRRT2基因的发现</w:t>
            </w:r>
            <w:r>
              <w:rPr>
                <w:rFonts w:hint="eastAsia" w:eastAsia="仿宋_GB2312"/>
                <w:sz w:val="24"/>
                <w:szCs w:val="24"/>
              </w:rPr>
              <w:t>，</w:t>
            </w:r>
            <w:r>
              <w:rPr>
                <w:rFonts w:eastAsia="仿宋_GB2312"/>
                <w:sz w:val="24"/>
                <w:szCs w:val="24"/>
              </w:rPr>
              <w:t>结合临床数据，开展了系统规范的临床治疗研究，发现并报道了小剂量（50mg/d）卡马西平具有显著疗效，可有效控制95%以上携带PRRT2突变患者的运动障碍，已成为治疗PKD的首选方案。该研究结果首次提出了低剂量精准干预新模式，不仅为</w:t>
            </w:r>
            <w:r>
              <w:rPr>
                <w:rFonts w:hint="eastAsia" w:eastAsia="仿宋_GB2312"/>
                <w:sz w:val="24"/>
                <w:szCs w:val="24"/>
              </w:rPr>
              <w:t>发作性运动障碍</w:t>
            </w:r>
            <w:r>
              <w:rPr>
                <w:rFonts w:eastAsia="仿宋_GB2312"/>
                <w:sz w:val="24"/>
                <w:szCs w:val="24"/>
              </w:rPr>
              <w:t>的精准治疗提供了科学依据和循证支持，也对其它发作性疾病如癫痫、偏头痛等常见病的治疗提供了启示。</w:t>
            </w:r>
            <w:r>
              <w:rPr>
                <w:rFonts w:hint="eastAsia" w:eastAsia="仿宋_GB2312"/>
                <w:sz w:val="24"/>
                <w:szCs w:val="24"/>
              </w:rPr>
              <w:t>基于本成果</w:t>
            </w:r>
            <w:r>
              <w:rPr>
                <w:rFonts w:eastAsia="仿宋_GB2312"/>
                <w:sz w:val="24"/>
                <w:szCs w:val="24"/>
              </w:rPr>
              <w:t>发布</w:t>
            </w:r>
            <w:r>
              <w:rPr>
                <w:rFonts w:hint="eastAsia" w:eastAsia="仿宋_GB2312"/>
                <w:sz w:val="24"/>
                <w:szCs w:val="24"/>
              </w:rPr>
              <w:t>的</w:t>
            </w:r>
            <w:r>
              <w:rPr>
                <w:rFonts w:eastAsia="仿宋_GB2312"/>
                <w:sz w:val="24"/>
                <w:szCs w:val="24"/>
              </w:rPr>
              <w:t>首个《中国发作性运动诱发性运动障碍诊治指南》</w:t>
            </w:r>
            <w:r>
              <w:rPr>
                <w:rFonts w:hint="eastAsia" w:eastAsia="仿宋_GB2312"/>
                <w:sz w:val="24"/>
                <w:szCs w:val="24"/>
              </w:rPr>
              <w:t>对疾病的临床识别、精准诊断和药物治疗均提出了规范化建议，对临床实践具有实质性的指导意义。系列成果陆续发表在</w:t>
            </w:r>
            <w:r>
              <w:rPr>
                <w:rFonts w:hint="eastAsia" w:eastAsia="仿宋_GB2312"/>
                <w:i/>
                <w:iCs/>
                <w:sz w:val="24"/>
                <w:szCs w:val="24"/>
              </w:rPr>
              <w:t>Nature Genetics、Cell Research、Cell Discovery、Cell Reports、Neurology、Movement Disorders</w:t>
            </w:r>
            <w:r>
              <w:rPr>
                <w:rFonts w:hint="eastAsia" w:eastAsia="仿宋_GB2312"/>
                <w:sz w:val="24"/>
                <w:szCs w:val="24"/>
              </w:rPr>
              <w:t>等国际主流期刊，授权发明专利3项。</w:t>
            </w:r>
            <w:r>
              <w:rPr>
                <w:rFonts w:eastAsia="仿宋_GB2312"/>
                <w:sz w:val="24"/>
                <w:szCs w:val="24"/>
              </w:rPr>
              <w:t>相关成果入选了“2021年度中国神经科学重大进展”及“国家自然科学基金委员会医学科学部十五周年科学基金资助优秀成果”，彰显了该</w:t>
            </w:r>
            <w:r>
              <w:rPr>
                <w:rFonts w:hint="eastAsia" w:eastAsia="仿宋_GB2312"/>
                <w:sz w:val="24"/>
                <w:szCs w:val="24"/>
              </w:rPr>
              <w:t>成果</w:t>
            </w:r>
            <w:r>
              <w:rPr>
                <w:rFonts w:eastAsia="仿宋_GB2312"/>
                <w:sz w:val="24"/>
                <w:szCs w:val="24"/>
              </w:rPr>
              <w:t>在学术创新和临床转化等方面的突出贡献。</w:t>
            </w:r>
            <w:r>
              <w:rPr>
                <w:rFonts w:hint="eastAsia" w:eastAsia="仿宋_GB2312"/>
                <w:sz w:val="24"/>
                <w:szCs w:val="24"/>
              </w:rPr>
              <w:t>鉴于此，</w:t>
            </w:r>
            <w:r>
              <w:rPr>
                <w:rFonts w:eastAsia="仿宋_GB2312"/>
                <w:sz w:val="24"/>
                <w:szCs w:val="24"/>
              </w:rPr>
              <w:t>本</w:t>
            </w:r>
            <w:r>
              <w:rPr>
                <w:rFonts w:hint="eastAsia" w:eastAsia="仿宋_GB2312"/>
                <w:sz w:val="24"/>
                <w:szCs w:val="24"/>
              </w:rPr>
              <w:t>成果</w:t>
            </w:r>
            <w:r>
              <w:rPr>
                <w:rFonts w:eastAsia="仿宋_GB2312"/>
                <w:sz w:val="24"/>
                <w:szCs w:val="24"/>
              </w:rPr>
              <w:t>在</w:t>
            </w:r>
            <w:r>
              <w:rPr>
                <w:rFonts w:hint="eastAsia" w:eastAsia="仿宋_GB2312"/>
                <w:sz w:val="24"/>
                <w:szCs w:val="24"/>
              </w:rPr>
              <w:t>发作性运动障碍</w:t>
            </w:r>
            <w:r>
              <w:rPr>
                <w:rFonts w:eastAsia="仿宋_GB2312"/>
                <w:sz w:val="24"/>
                <w:szCs w:val="24"/>
              </w:rPr>
              <w:t>的致病基因解析、致病机制研究</w:t>
            </w:r>
            <w:r>
              <w:rPr>
                <w:rFonts w:hint="eastAsia" w:eastAsia="仿宋_GB2312"/>
                <w:sz w:val="24"/>
                <w:szCs w:val="24"/>
              </w:rPr>
              <w:t>及干预策略临床转化方面均</w:t>
            </w:r>
            <w:r>
              <w:rPr>
                <w:rFonts w:eastAsia="仿宋_GB2312"/>
                <w:sz w:val="24"/>
                <w:szCs w:val="24"/>
              </w:rPr>
              <w:t>取得了系列标志性成果，达到国际领先水平。</w:t>
            </w:r>
            <w:r>
              <w:rPr>
                <w:rFonts w:hint="eastAsia" w:eastAsia="仿宋_GB2312"/>
                <w:sz w:val="24"/>
                <w:szCs w:val="24"/>
              </w:rPr>
              <w:t>提名该成果为浙江省自然科学奖一等奖。</w:t>
            </w:r>
          </w:p>
        </w:tc>
      </w:tr>
    </w:tbl>
    <w:p w14:paraId="52FD69C9">
      <w:pPr>
        <w:adjustRightInd w:val="0"/>
        <w:snapToGrid w:val="0"/>
        <w:spacing w:line="560" w:lineRule="exact"/>
        <w:rPr>
          <w:rFonts w:eastAsia="仿宋_GB2312"/>
          <w:sz w:val="32"/>
          <w:szCs w:val="32"/>
        </w:rPr>
      </w:pPr>
    </w:p>
    <w:p w14:paraId="7C3E170E"/>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0000000000000000000"/>
    <w:charset w:val="86"/>
    <w:family w:val="script"/>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286816"/>
    </w:sdtPr>
    <w:sdtEndPr>
      <w:rPr>
        <w:sz w:val="21"/>
        <w:szCs w:val="21"/>
      </w:rPr>
    </w:sdtEndPr>
    <w:sdtContent>
      <w:p w14:paraId="78A60ECB">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143</w:t>
        </w:r>
        <w:r>
          <w:rPr>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462D">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A2AD">
    <w:pPr>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140C">
    <w:pPr>
      <w:pStyle w:val="3"/>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069D2">
    <w:pPr>
      <w:pStyle w:val="3"/>
      <w:ind w:left="360"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CF024"/>
    <w:multiLevelType w:val="singleLevel"/>
    <w:tmpl w:val="EFFCF024"/>
    <w:lvl w:ilvl="0" w:tentative="0">
      <w:start w:val="1"/>
      <w:numFmt w:val="decimal"/>
      <w:lvlText w:val="%1."/>
      <w:lvlJc w:val="left"/>
      <w:pPr>
        <w:ind w:left="425" w:hanging="425"/>
      </w:pPr>
      <w:rPr>
        <w:rFonts w:hint="default"/>
      </w:rPr>
    </w:lvl>
  </w:abstractNum>
  <w:abstractNum w:abstractNumId="1">
    <w:nsid w:val="7F9D88D5"/>
    <w:multiLevelType w:val="singleLevel"/>
    <w:tmpl w:val="7F9D88D5"/>
    <w:lvl w:ilvl="0" w:tentative="0">
      <w:start w:val="1"/>
      <w:numFmt w:val="decimal"/>
      <w:lvlText w:val="(%1)"/>
      <w:lvlJc w:val="left"/>
      <w:pPr>
        <w:tabs>
          <w:tab w:val="left" w:pos="420"/>
        </w:tabs>
        <w:ind w:left="84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C754F"/>
    <w:rsid w:val="0D94512B"/>
    <w:rsid w:val="47EC7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1736</Words>
  <Characters>3126</Characters>
  <Lines>0</Lines>
  <Paragraphs>0</Paragraphs>
  <TotalTime>0</TotalTime>
  <ScaleCrop>false</ScaleCrop>
  <LinksUpToDate>false</LinksUpToDate>
  <CharactersWithSpaces>3434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2025-09-16T07:09:00Z</dcterms:created>
  <dc:creator>Susie</dc:creator>
  <cp:lastModifiedBy>竹你平安</cp:lastModifiedBy>
  <dcterms:modified xsi:type="dcterms:W3CDTF">2025-09-16T08:49:54Z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9AC7F202AE4848E5A555D61FE9D9F6B2_13</vt:lpwstr>
  </property>
  <property fmtid="{D5CDD505-2E9C-101B-9397-08002B2CF9AE}" pid="4" name="KSOTemplateDocerSaveRecord">
    <vt:lpwstr>eyJoZGlkIjoiNDliZTI4YjM3YWEwNWQwNTI2ZjdjNzQ1ZWJlZGViZTkiLCJ1c2VySWQiOiIxMTM2NjE1MDY0In0=</vt:lpwstr>
  </property>
</Properties>
</file>